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F" w:rsidRPr="003C660F" w:rsidRDefault="003C660F" w:rsidP="003C660F">
      <w:pPr>
        <w:spacing w:after="163" w:line="240" w:lineRule="auto"/>
        <w:jc w:val="center"/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  <w:t xml:space="preserve">Информация с сайта ФНПР </w:t>
      </w:r>
      <w:hyperlink r:id="rId4" w:history="1">
        <w:r w:rsidRPr="003C660F">
          <w:rPr>
            <w:rFonts w:ascii="Arial" w:eastAsia="Times New Roman" w:hAnsi="Arial" w:cs="Arial"/>
            <w:b/>
            <w:color w:val="0067B8"/>
            <w:sz w:val="28"/>
            <w:szCs w:val="28"/>
            <w:u w:val="single"/>
            <w:lang w:eastAsia="ru-RU"/>
          </w:rPr>
          <w:t>http://fnpr.org.ru/n/256/6504.html</w:t>
        </w:r>
      </w:hyperlink>
    </w:p>
    <w:p w:rsidR="003C660F" w:rsidRPr="003C660F" w:rsidRDefault="003C660F" w:rsidP="003C660F">
      <w:pPr>
        <w:spacing w:after="163" w:line="240" w:lineRule="auto"/>
        <w:jc w:val="center"/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  <w:t>МИНИСТЕРСТВО ЗДРАВООХРАНЕНИЯ И СОЦИАЛЬНОГО РАЗВИТИЯ РОССИЙСКОЙ ФЕДЕРАЦИИ ФЕДЕРАЛЬНАЯ СЛУЖБА ПО ТРУДУ И ЗАНЯТОСТИ</w:t>
      </w:r>
    </w:p>
    <w:p w:rsidR="003C660F" w:rsidRPr="003C660F" w:rsidRDefault="003C660F" w:rsidP="003C660F">
      <w:pPr>
        <w:spacing w:after="163" w:line="240" w:lineRule="auto"/>
        <w:jc w:val="center"/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  <w:t>ФЕДЕРАЦИЯ НЕЗАВИСИМЫХ ПРОФСОЮЗОВ РОССИИ</w:t>
      </w:r>
    </w:p>
    <w:p w:rsidR="003C660F" w:rsidRPr="003C660F" w:rsidRDefault="003C660F" w:rsidP="003C660F">
      <w:pPr>
        <w:spacing w:after="163" w:line="240" w:lineRule="auto"/>
        <w:jc w:val="center"/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  <w:t>РАЗЪЯСНЕНИЕ</w:t>
      </w:r>
    </w:p>
    <w:p w:rsidR="003C660F" w:rsidRPr="003C660F" w:rsidRDefault="003C660F" w:rsidP="003C660F">
      <w:pPr>
        <w:spacing w:after="163" w:line="240" w:lineRule="auto"/>
        <w:jc w:val="center"/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b/>
          <w:color w:val="2D2D2D"/>
          <w:sz w:val="28"/>
          <w:szCs w:val="28"/>
          <w:lang w:eastAsia="ru-RU"/>
        </w:rPr>
        <w:t>О ПРИМЕНЕНИИ ЧАСТИ ВТОРОЙ СТАЬИ 229 ТРУДОВОГО КОДЕКСА РОССИЙСКОЙ ФЕДЕРАЦИИ ПРИ ФОРМИРОВАНИИ КОМИССИЙ ПО РАССЛЕДОВАНИЮ НЕСЧАСТНЫХ СЛУЧАЕВ</w:t>
      </w:r>
    </w:p>
    <w:p w:rsid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proofErr w:type="gramStart"/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В связи с поступающими вопросами о применении статьи 228.1 и части второй статьи 229 Трудового кодекса Российской Федерации (далее - Кодекс) при формировании комиссий по расследованию несчастных случаев Управление надзора и контроля за соблюдением законодательства о труде Федеральной службы по труду и занятости и Техническая инспекция труда Федерации Независимых Профсоюзов России сообщают следующее.</w:t>
      </w:r>
      <w:proofErr w:type="gramEnd"/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В соответствии с требованиями Кодекса для расследования несчастного случая работодатель (его представитель) обязан незамедлительно образовать комиссию в составе не менее трех человек. В состав комиссии помимо представителей работодателя включаются представители выборного органа первичной профсоюзной организации (при ее наличии) или иного представительного органа работников организации, а также уполномоченное (доверенное) лицо по охране труда профсоюза.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Согласно части второй статьи 229 Кодекса 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включается представитель территориального объединения организаций профсоюзов. С этой целью работодатель обязан в соответствии со статьей 228.1 Кодекса в течение суток направить извещение по установленной форме в органы и организации, указанные в Кодексе, в том числе и в соответствующее территориальное объединение организаций профсоюзов.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В соответствии с положениями статьи 229 Кодекса отсутствие в организации выборного профсоюзного органа не может являться основанием для неучастия в комиссии по расследованию указанных выше несчастных случаев представителей территориальных </w:t>
      </w: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lastRenderedPageBreak/>
        <w:t xml:space="preserve">объединений или организаций профсоюзов. </w:t>
      </w:r>
      <w:proofErr w:type="spellStart"/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Ненаправление</w:t>
      </w:r>
      <w:proofErr w:type="spellEnd"/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работодателем (его представителем) извещения в указанные органы в установленный срок является нарушением законодательства о труде (административным правонарушением), за которое предусмотрена его административная ответственность в виде наложения денежного штрафа.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В случае </w:t>
      </w:r>
      <w:proofErr w:type="gramStart"/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невозможности участия представителя территориального объединения организаций профсоюзов</w:t>
      </w:r>
      <w:proofErr w:type="gramEnd"/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в работе комиссии по объективным причинам, территориальное объединение организаций профсоюзов вносит письменное предложение соответствующей территориальной организации профсоюза по участию ее представителя в расследовании несчастного случая в качестве надлежащего представителя профсоюзов с обязательным приложением данного документа к материалам расследования.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При групповом случае с числом погибших 5 и более человек в состав комиссии включается также представитель общероссийского объединения профсоюзов, который в случае невозможности участия в расследовании своего представителя может делегировать свои полномочия соответствующему общероссийскому профсоюзу.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Проведение расследования несчастного случая комиссией ненадлежащего состава может иметь решающее значение для оценки принятых ею решений как юридически недействительных и подлежащих отмене.</w:t>
      </w:r>
    </w:p>
    <w:p w:rsidR="003C660F" w:rsidRPr="003C660F" w:rsidRDefault="003C660F" w:rsidP="003C660F">
      <w:pPr>
        <w:spacing w:after="163" w:line="240" w:lineRule="auto"/>
        <w:jc w:val="both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  <w:r w:rsidRPr="003C660F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Все вышеуказанные решения должны быть подтверждены документально с включением их в состав материалов расследования несчастного случая.</w:t>
      </w:r>
    </w:p>
    <w:p w:rsidR="00C13C27" w:rsidRDefault="00C13C27"/>
    <w:sectPr w:rsidR="00C13C27" w:rsidSect="00C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60F"/>
    <w:rsid w:val="003C660F"/>
    <w:rsid w:val="00C1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npr.org.ru/n/256/6504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F96A05-206D-4FD0-AFA1-5C6BFED048D3}"/>
</file>

<file path=customXml/itemProps2.xml><?xml version="1.0" encoding="utf-8"?>
<ds:datastoreItem xmlns:ds="http://schemas.openxmlformats.org/officeDocument/2006/customXml" ds:itemID="{4B8345C1-D6B2-40CE-B7AE-FD3788AC4E43}"/>
</file>

<file path=customXml/itemProps3.xml><?xml version="1.0" encoding="utf-8"?>
<ds:datastoreItem xmlns:ds="http://schemas.openxmlformats.org/officeDocument/2006/customXml" ds:itemID="{CC3AFF5B-7D09-406E-B939-140E62A3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>Медведевская районная организация профсоюза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2012-03-30T03:07:00Z</dcterms:created>
  <dcterms:modified xsi:type="dcterms:W3CDTF">2012-03-30T03:10:00Z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